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sz w:val="44"/>
          <w:szCs w:val="44"/>
        </w:rPr>
      </w:pPr>
      <w:r>
        <w:rPr>
          <w:sz w:val="44"/>
          <w:szCs w:val="44"/>
        </w:rPr>
        <w:pict>
          <v:shape id="_x0000_i1025" o:spt="136" type="#_x0000_t136" style="height:57pt;width:425.25pt;" fillcolor="#FFFFFF" filled="t" stroked="t" coordsize="21600,21600" adj="10800">
            <v:path/>
            <v:fill on="t" color2="#FFFFFF" focussize="0,0"/>
            <v:stroke color="#FFFFFF"/>
            <v:imagedata o:title=""/>
            <o:lock v:ext="edit" aspectratio="f"/>
            <v:textpath on="t" fitshape="t" fitpath="t" trim="t" xscale="f" string="伊春市嘉荫生态环境局文件" style="font-family:方正小标宋简体;font-size:36pt;font-weight:bold;v-text-align:center;"/>
            <w10:wrap type="none"/>
            <w10:anchorlock/>
          </v:shape>
        </w:pic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sz w:val="32"/>
          <w:szCs w:val="32"/>
        </w:rPr>
      </w:pPr>
    </w:p>
    <w:p>
      <w:pPr>
        <w:keepNext w:val="0"/>
        <w:keepLines w:val="0"/>
        <w:pageBreakBefore w:val="0"/>
        <w:widowControl w:val="0"/>
        <w:tabs>
          <w:tab w:val="left" w:pos="480"/>
          <w:tab w:val="left" w:pos="8640"/>
          <w:tab w:val="left" w:pos="8800"/>
        </w:tab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pacing w:val="-20"/>
          <w:sz w:val="32"/>
          <w:szCs w:val="32"/>
        </w:rPr>
      </w:pPr>
    </w:p>
    <w:p>
      <w:pPr>
        <w:keepNext w:val="0"/>
        <w:keepLines w:val="0"/>
        <w:pageBreakBefore w:val="0"/>
        <w:widowControl w:val="0"/>
        <w:tabs>
          <w:tab w:val="left" w:pos="480"/>
          <w:tab w:val="left" w:pos="8640"/>
          <w:tab w:val="left" w:pos="8800"/>
        </w:tab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pacing w:val="-20"/>
          <w:sz w:val="32"/>
          <w:szCs w:val="32"/>
        </w:rPr>
      </w:pPr>
    </w:p>
    <w:p>
      <w:pPr>
        <w:keepNext w:val="0"/>
        <w:keepLines w:val="0"/>
        <w:pageBreakBefore w:val="0"/>
        <w:widowControl w:val="0"/>
        <w:tabs>
          <w:tab w:val="left" w:pos="480"/>
          <w:tab w:val="left" w:pos="8640"/>
          <w:tab w:val="left" w:pos="8800"/>
        </w:tab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pacing w:val="-20"/>
          <w:sz w:val="32"/>
          <w:szCs w:val="32"/>
        </w:rPr>
      </w:pPr>
    </w:p>
    <w:p>
      <w:pPr>
        <w:keepNext w:val="0"/>
        <w:keepLines w:val="0"/>
        <w:pageBreakBefore w:val="0"/>
        <w:widowControl w:val="0"/>
        <w:tabs>
          <w:tab w:val="left" w:pos="480"/>
          <w:tab w:val="left" w:pos="8640"/>
          <w:tab w:val="left" w:pos="8800"/>
        </w:tabs>
        <w:kinsoku/>
        <w:wordWrap/>
        <w:overflowPunct/>
        <w:topLinePunct w:val="0"/>
        <w:autoSpaceDE/>
        <w:autoSpaceDN/>
        <w:bidi w:val="0"/>
        <w:adjustRightInd/>
        <w:snapToGrid/>
        <w:spacing w:line="560" w:lineRule="exact"/>
        <w:jc w:val="center"/>
        <w:textAlignment w:val="auto"/>
        <w:rPr>
          <w:sz w:val="32"/>
          <w:szCs w:val="32"/>
        </w:rPr>
      </w:pPr>
      <w:r>
        <w:rPr>
          <w:rFonts w:hint="eastAsia" w:ascii="仿宋_GB2312" w:hAnsi="仿宋_GB2312" w:eastAsia="仿宋_GB2312" w:cs="仿宋_GB2312"/>
          <w:b w:val="0"/>
          <w:bCs/>
          <w:spacing w:val="-20"/>
          <w:sz w:val="32"/>
          <w:szCs w:val="32"/>
        </w:rPr>
        <w:t>嘉环建审〔</w:t>
      </w:r>
      <w:r>
        <w:rPr>
          <w:rFonts w:hint="eastAsia" w:ascii="仿宋_GB2312" w:hAnsi="仿宋_GB2312" w:eastAsia="仿宋_GB2312" w:cs="仿宋_GB2312"/>
          <w:b w:val="0"/>
          <w:bCs/>
          <w:spacing w:val="-20"/>
          <w:sz w:val="32"/>
          <w:szCs w:val="32"/>
          <w:lang w:val="en-US" w:eastAsia="zh-CN"/>
        </w:rPr>
        <w:t>2025</w:t>
      </w:r>
      <w:r>
        <w:rPr>
          <w:rFonts w:hint="eastAsia" w:ascii="仿宋_GB2312" w:hAnsi="仿宋_GB2312" w:eastAsia="仿宋_GB2312" w:cs="仿宋_GB2312"/>
          <w:b w:val="0"/>
          <w:bCs/>
          <w:spacing w:val="-20"/>
          <w:sz w:val="32"/>
          <w:szCs w:val="32"/>
        </w:rPr>
        <w:t>〕</w:t>
      </w:r>
      <w:r>
        <w:rPr>
          <w:rFonts w:hint="eastAsia" w:ascii="仿宋_GB2312" w:hAnsi="仿宋_GB2312" w:eastAsia="仿宋_GB2312" w:cs="仿宋_GB2312"/>
          <w:b w:val="0"/>
          <w:bCs/>
          <w:spacing w:val="-20"/>
          <w:sz w:val="32"/>
          <w:szCs w:val="32"/>
          <w:lang w:val="en-US" w:eastAsia="zh-CN"/>
        </w:rPr>
        <w:t>4号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bookmarkStart w:id="0" w:name="OLE_LINK4"/>
      <w:bookmarkStart w:id="1" w:name="OLE_LINK2"/>
      <w:bookmarkStart w:id="2" w:name="OLE_LINK3"/>
      <w:r>
        <w:rPr>
          <w:rFonts w:hint="eastAsia" w:ascii="方正小标宋简体" w:hAnsi="方正小标宋简体" w:eastAsia="方正小标宋简体" w:cs="方正小标宋简体"/>
          <w:b w:val="0"/>
          <w:bCs w:val="0"/>
          <w:sz w:val="44"/>
          <w:szCs w:val="44"/>
          <w:lang w:val="en-US" w:eastAsia="zh-CN"/>
        </w:rPr>
        <w:t>伊春市嘉荫县常胜乡常家村白桦汁冷藏设备及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jc w:val="center"/>
        <w:textAlignment w:val="auto"/>
        <w:outlineLvl w:val="9"/>
        <w:rPr>
          <w:rFonts w:hint="eastAsia" w:ascii="仿宋_GB2312" w:hAnsi="仿宋_GB2312" w:eastAsia="仿宋_GB2312" w:cs="仿宋_GB2312"/>
          <w:b w:val="0"/>
          <w:bCs w:val="0"/>
          <w:spacing w:val="-2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配套附属设施建设项目</w:t>
      </w:r>
      <w:bookmarkEnd w:id="0"/>
      <w:r>
        <w:rPr>
          <w:rFonts w:hint="eastAsia" w:ascii="方正小标宋简体" w:hAnsi="方正小标宋简体" w:eastAsia="方正小标宋简体" w:cs="方正小标宋简体"/>
          <w:b w:val="0"/>
          <w:bCs w:val="0"/>
          <w:sz w:val="44"/>
          <w:szCs w:val="44"/>
        </w:rPr>
        <w:t>环境影响报告表</w:t>
      </w:r>
      <w:bookmarkEnd w:id="1"/>
      <w:r>
        <w:rPr>
          <w:rFonts w:hint="eastAsia" w:ascii="方正小标宋简体" w:hAnsi="方正小标宋简体" w:eastAsia="方正小标宋简体" w:cs="方正小标宋简体"/>
          <w:b w:val="0"/>
          <w:bCs w:val="0"/>
          <w:sz w:val="44"/>
          <w:szCs w:val="44"/>
        </w:rPr>
        <w:t>的批复</w:t>
      </w:r>
    </w:p>
    <w:bookmarkEnd w:id="2"/>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jc w:val="both"/>
        <w:textAlignment w:val="auto"/>
        <w:outlineLvl w:val="9"/>
        <w:rPr>
          <w:rFonts w:hint="eastAsia" w:ascii="仿宋_GB2312" w:hAnsi="仿宋_GB2312" w:eastAsia="仿宋_GB2312" w:cs="仿宋_GB2312"/>
          <w:b w:val="0"/>
          <w:bCs/>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right="0"/>
        <w:jc w:val="both"/>
        <w:textAlignment w:val="auto"/>
        <w:outlineLvl w:val="9"/>
        <w:rPr>
          <w:rFonts w:hint="eastAsia" w:ascii="仿宋_GB2312" w:hAnsi="仿宋_GB2312" w:eastAsia="仿宋_GB2312" w:cs="仿宋_GB2312"/>
          <w:b w:val="0"/>
          <w:bCs/>
          <w:spacing w:val="-20"/>
          <w:sz w:val="32"/>
          <w:szCs w:val="32"/>
          <w:lang w:val="en-US" w:eastAsia="zh-CN"/>
        </w:rPr>
      </w:pPr>
      <w:r>
        <w:rPr>
          <w:rFonts w:hint="eastAsia" w:ascii="仿宋_GB2312" w:hAnsi="仿宋_GB2312" w:eastAsia="仿宋_GB2312" w:cs="仿宋_GB2312"/>
          <w:b w:val="0"/>
          <w:bCs/>
          <w:spacing w:val="-20"/>
          <w:sz w:val="32"/>
          <w:szCs w:val="32"/>
          <w:lang w:val="en-US" w:eastAsia="zh-CN"/>
        </w:rPr>
        <w:t>嘉荫县常胜乡人民政府：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left="0" w:leftChars="0" w:right="0" w:firstLine="560" w:firstLineChars="200"/>
        <w:jc w:val="both"/>
        <w:textAlignment w:val="auto"/>
        <w:outlineLvl w:val="9"/>
        <w:rPr>
          <w:rFonts w:hint="eastAsia" w:ascii="黑体" w:hAnsi="黑体" w:eastAsia="黑体" w:cs="黑体"/>
          <w:b w:val="0"/>
          <w:bCs/>
          <w:spacing w:val="-20"/>
          <w:sz w:val="32"/>
          <w:szCs w:val="32"/>
        </w:rPr>
      </w:pPr>
      <w:r>
        <w:rPr>
          <w:rFonts w:hint="eastAsia" w:ascii="仿宋_GB2312" w:hAnsi="仿宋_GB2312" w:eastAsia="仿宋_GB2312" w:cs="仿宋_GB2312"/>
          <w:b w:val="0"/>
          <w:bCs/>
          <w:spacing w:val="-20"/>
          <w:sz w:val="32"/>
          <w:szCs w:val="32"/>
        </w:rPr>
        <w:t>你单位报送的《</w:t>
      </w:r>
      <w:r>
        <w:rPr>
          <w:rFonts w:hint="eastAsia" w:ascii="仿宋_GB2312" w:hAnsi="仿宋_GB2312" w:eastAsia="仿宋_GB2312" w:cs="仿宋_GB2312"/>
          <w:b w:val="0"/>
          <w:bCs/>
          <w:spacing w:val="-20"/>
          <w:sz w:val="32"/>
          <w:szCs w:val="32"/>
          <w:lang w:val="en-US" w:eastAsia="zh-CN"/>
        </w:rPr>
        <w:t>伊春市嘉荫县常胜乡常家村白桦汁冷藏设备及配套附属设施建设项目</w:t>
      </w:r>
      <w:r>
        <w:rPr>
          <w:rFonts w:hint="eastAsia" w:ascii="仿宋_GB2312" w:hAnsi="仿宋_GB2312" w:eastAsia="仿宋_GB2312" w:cs="仿宋_GB2312"/>
          <w:b w:val="0"/>
          <w:bCs/>
          <w:spacing w:val="-20"/>
          <w:sz w:val="32"/>
          <w:szCs w:val="32"/>
        </w:rPr>
        <w:t>环境影响报告表</w:t>
      </w:r>
      <w:r>
        <w:rPr>
          <w:rFonts w:hint="eastAsia" w:ascii="仿宋_GB2312" w:hAnsi="仿宋_GB2312" w:eastAsia="仿宋_GB2312" w:cs="仿宋_GB2312"/>
          <w:b w:val="0"/>
          <w:bCs/>
          <w:spacing w:val="-20"/>
          <w:sz w:val="32"/>
          <w:szCs w:val="32"/>
          <w:lang w:eastAsia="zh-CN"/>
        </w:rPr>
        <w:t>》</w:t>
      </w:r>
      <w:r>
        <w:rPr>
          <w:rFonts w:hint="eastAsia" w:ascii="仿宋_GB2312" w:hAnsi="仿宋_GB2312" w:eastAsia="仿宋_GB2312" w:cs="仿宋_GB2312"/>
          <w:b w:val="0"/>
          <w:bCs/>
          <w:spacing w:val="-20"/>
          <w:sz w:val="32"/>
          <w:szCs w:val="32"/>
        </w:rPr>
        <w:t>（以下简称《报告表》）已收悉，经审查，经专家组评审后，本项目的建设符合国家相关政策和产业结构调整方向，现将审批意见批复如下：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left="0" w:leftChars="0" w:right="0" w:firstLine="560" w:firstLineChars="200"/>
        <w:jc w:val="both"/>
        <w:textAlignment w:val="auto"/>
        <w:outlineLvl w:val="9"/>
        <w:rPr>
          <w:rFonts w:hint="eastAsia" w:ascii="黑体" w:hAnsi="黑体" w:eastAsia="黑体" w:cs="黑体"/>
          <w:b w:val="0"/>
          <w:bCs/>
          <w:spacing w:val="-20"/>
          <w:sz w:val="32"/>
          <w:szCs w:val="32"/>
        </w:rPr>
      </w:pPr>
      <w:r>
        <w:rPr>
          <w:rFonts w:hint="eastAsia" w:ascii="黑体" w:hAnsi="黑体" w:eastAsia="黑体" w:cs="黑体"/>
          <w:b w:val="0"/>
          <w:bCs/>
          <w:spacing w:val="-20"/>
          <w:sz w:val="32"/>
          <w:szCs w:val="32"/>
        </w:rPr>
        <w:t>一、具体内容</w:t>
      </w:r>
    </w:p>
    <w:p>
      <w:pPr>
        <w:keepNext w:val="0"/>
        <w:keepLines w:val="0"/>
        <w:pageBreakBefore w:val="0"/>
        <w:kinsoku/>
        <w:wordWrap/>
        <w:overflowPunct/>
        <w:topLinePunct w:val="0"/>
        <w:bidi w:val="0"/>
        <w:adjustRightInd w:val="0"/>
        <w:snapToGrid w:val="0"/>
        <w:spacing w:line="560" w:lineRule="atLeast"/>
        <w:ind w:firstLine="640" w:firstLineChars="200"/>
        <w:textAlignment w:val="auto"/>
        <w:rPr>
          <w:rFonts w:hint="eastAsia" w:ascii="仿宋_GB2312" w:hAnsi="仿宋_GB2312" w:eastAsia="仿宋_GB2312" w:cs="仿宋_GB2312"/>
          <w:b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项目名称：</w:t>
      </w:r>
      <w:bookmarkStart w:id="3" w:name="OLE_LINK1"/>
      <w:r>
        <w:rPr>
          <w:rFonts w:hint="eastAsia" w:ascii="仿宋_GB2312" w:hAnsi="仿宋_GB2312" w:eastAsia="仿宋_GB2312" w:cs="仿宋_GB2312"/>
          <w:b w:val="0"/>
          <w:i w:val="0"/>
          <w:caps w:val="0"/>
          <w:color w:val="auto"/>
          <w:spacing w:val="0"/>
          <w:sz w:val="32"/>
          <w:szCs w:val="32"/>
          <w:shd w:val="clear" w:color="auto" w:fill="FFFFFF"/>
          <w:lang w:val="en-US" w:eastAsia="zh-CN"/>
        </w:rPr>
        <w:t>伊春市嘉荫县常胜乡常家村白桦汁冷藏设备及配套附属设施建设项目</w:t>
      </w:r>
    </w:p>
    <w:bookmarkEnd w:id="3"/>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atLeast"/>
        <w:ind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建设地点：伊春市嘉荫县常胜乡常家村</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atLeast"/>
        <w:ind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建设单位：嘉荫县常胜乡人民政府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atLeast"/>
        <w:ind w:firstLine="640" w:firstLineChars="200"/>
        <w:jc w:val="both"/>
        <w:textAlignment w:val="auto"/>
        <w:outlineLvl w:val="9"/>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建设性质</w:t>
      </w:r>
      <w:r>
        <w:rPr>
          <w:rFonts w:hint="eastAsia" w:ascii="仿宋_GB2312" w:hAnsi="仿宋_GB2312" w:eastAsia="仿宋_GB2312" w:cs="仿宋_GB2312"/>
          <w:color w:val="auto"/>
          <w:kern w:val="0"/>
          <w:sz w:val="32"/>
          <w:szCs w:val="32"/>
          <w:lang w:val="en-US" w:eastAsia="zh-CN"/>
        </w:rPr>
        <w:t>：新建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环境影响评价机构：黑龙江沃伊环保科技有限公司</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atLeas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项目内容：</w:t>
      </w:r>
      <w:bookmarkStart w:id="4" w:name="_Hlk188257439"/>
      <w:bookmarkStart w:id="5" w:name="_Hlk110892178"/>
      <w:bookmarkStart w:id="6" w:name="_Hlk110916152"/>
      <w:r>
        <w:rPr>
          <w:rFonts w:hint="eastAsia" w:ascii="仿宋_GB2312" w:hAnsi="仿宋_GB2312" w:eastAsia="仿宋_GB2312" w:cs="仿宋_GB2312"/>
          <w:sz w:val="32"/>
          <w:szCs w:val="32"/>
          <w:lang w:val="en-US" w:eastAsia="zh-CN"/>
        </w:rPr>
        <w:t>嘉荫县常胜乡人民政府拟新建一处锅炉房并购置冷藏设备，锅炉房内设1台10t/h的燃生物质蒸汽锅炉为拟建设的白桦汁项目提供热源，锅炉配备旋风+布袋除尘器+低氮燃烧器，锅炉烟气通过一根40m高烟囱高空排放。</w:t>
      </w:r>
      <w:bookmarkEnd w:id="4"/>
    </w:p>
    <w:bookmarkEnd w:id="5"/>
    <w:bookmarkEnd w:id="6"/>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atLeast"/>
        <w:ind w:right="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总投资：415万元，环保投资：23万元。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left="0" w:leftChars="0" w:right="0" w:firstLine="560" w:firstLineChars="200"/>
        <w:jc w:val="both"/>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pacing w:val="-20"/>
          <w:sz w:val="32"/>
          <w:szCs w:val="32"/>
        </w:rPr>
        <w:t>二、</w:t>
      </w:r>
      <w:r>
        <w:rPr>
          <w:rFonts w:hint="eastAsia" w:ascii="黑体" w:hAnsi="黑体" w:eastAsia="黑体" w:cs="黑体"/>
          <w:b w:val="0"/>
          <w:bCs/>
          <w:sz w:val="32"/>
          <w:szCs w:val="32"/>
          <w:lang w:val="zh-CN"/>
        </w:rPr>
        <w:t>项目</w:t>
      </w:r>
      <w:r>
        <w:rPr>
          <w:rFonts w:hint="eastAsia" w:ascii="黑体" w:hAnsi="黑体" w:eastAsia="黑体" w:cs="黑体"/>
          <w:b w:val="0"/>
          <w:bCs/>
          <w:sz w:val="32"/>
          <w:szCs w:val="32"/>
          <w:lang w:val="en-US" w:eastAsia="zh-CN"/>
        </w:rPr>
        <w:t>污染防治措施</w:t>
      </w: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atLeast"/>
        <w:ind w:left="630" w:leftChars="0" w:right="0" w:rightChars="0"/>
        <w:jc w:val="left"/>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一、建设期</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atLeast"/>
        <w:ind w:right="0" w:firstLine="640" w:firstLineChars="200"/>
        <w:jc w:val="left"/>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1、环境空气影响分析</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atLeast"/>
        <w:ind w:right="0" w:firstLine="640" w:firstLineChars="200"/>
        <w:jc w:val="left"/>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施工现场周边设置围挡，施工道路进行硬质覆盖；粉性建筑材料应当采取封闭、遮盖等有效防尘措施；建筑材料运输车要用苫布盖好；现场采取湿式作业等有效防尘措施。施工单位应当按照有关规定使用预拌混凝土，不得擅自在施工现场搅拌混凝土。建筑材料不允许乱堆乱放，弃土石渣每天清除。</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atLeast"/>
        <w:ind w:right="0" w:firstLine="640" w:firstLineChars="200"/>
        <w:jc w:val="left"/>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2、水环境影响分析</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atLeast"/>
        <w:ind w:right="0" w:firstLine="640" w:firstLineChars="200"/>
        <w:jc w:val="left"/>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建设临时设施后，将施工废水收集进防渗沉淀池中，施工机械冲洗水经防渗沉淀池处理后回用与洒水、降尘等，不外排；施工人员生活污水排入防渗旱厕，定期清掏。初期雨水经导流沟进入防渗沉淀池，经沉淀处理后回用于降尘，不外排。</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atLeast"/>
        <w:ind w:right="0" w:firstLine="640" w:firstLineChars="200"/>
        <w:jc w:val="left"/>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3、声环境影响分析</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atLeast"/>
        <w:ind w:right="0" w:firstLine="640" w:firstLineChars="200"/>
        <w:jc w:val="left"/>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文明施工，施工机械要采取减振措施，使用低噪声设备，大型施工机械应异地使用，对不能异地使用的应采取封闭措施，杜绝夜间施工现象。</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atLeast"/>
        <w:ind w:right="0" w:firstLine="640" w:firstLineChars="200"/>
        <w:jc w:val="left"/>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4、固体废物环境影响分析</w:t>
      </w: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atLeast"/>
        <w:ind w:right="0" w:rightChars="0" w:firstLine="640" w:firstLineChars="200"/>
        <w:jc w:val="left"/>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对生活垃圾进行统一收集，定期送往环卫部门生活垃圾指定堆放点。严格建筑垃圾的管理，施工中尽量综合利用，不能利用的建筑垃圾集中堆存，采取苫布遮盖措施，运往政府指定处置地点。</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atLeast"/>
        <w:ind w:right="0" w:firstLine="640" w:firstLineChars="200"/>
        <w:jc w:val="left"/>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二、运营期</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atLeast"/>
        <w:ind w:leftChars="200" w:right="0" w:rightChars="0" w:firstLine="320" w:firstLineChars="100"/>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val="en-US" w:eastAsia="zh-CN"/>
        </w:rPr>
        <w:t>废水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atLeast"/>
        <w:ind w:left="0" w:right="0" w:firstLine="640" w:firstLineChars="200"/>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本项目生活污水排入防渗旱厕，定期清掏外运堆肥；锅炉排污水和软化处理废水用于锅炉除渣、除灰和锅炉间地面洒水降尘，不外排。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atLeast"/>
        <w:ind w:left="0"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、固体废物</w:t>
      </w: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atLeast"/>
        <w:ind w:right="0" w:rightChars="0" w:firstLine="640" w:firstLineChars="200"/>
        <w:jc w:val="left"/>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bookmarkStart w:id="7" w:name="_Hlk111126776"/>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锅炉软化水处理系统中的树脂定期更换，废离子交换树脂集中收集，由原厂家回收。灰渣集中收集后外售用于生产有机肥。布袋除尘器由市政部门统一处置。废布袋由厂家回收。生活垃圾集中收集至垃圾箱，定期由环卫部门统一清理。</w:t>
      </w: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atLeast"/>
        <w:ind w:leftChars="200" w:right="0" w:rightChars="0" w:firstLine="320" w:firstLineChars="100"/>
        <w:jc w:val="left"/>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3、废气</w:t>
      </w: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60" w:lineRule="atLeast"/>
        <w:ind w:right="0" w:rightChars="0" w:firstLine="640" w:firstLineChars="200"/>
        <w:jc w:val="left"/>
        <w:textAlignment w:val="auto"/>
        <w:rPr>
          <w:rFonts w:hint="default" w:ascii="仿宋_GB2312" w:hAnsi="仿宋_GB2312" w:eastAsia="仿宋_GB2312" w:cs="仿宋_GB2312"/>
          <w:b w:val="0"/>
          <w:bCs w:val="0"/>
          <w:i w:val="0"/>
          <w:caps w:val="0"/>
          <w:color w:val="auto"/>
          <w:spacing w:val="0"/>
          <w:sz w:val="32"/>
          <w:szCs w:val="32"/>
          <w:shd w:val="clear" w:color="auto" w:fill="FFFFFF"/>
          <w:lang w:val="en-US" w:eastAsia="zh-CN"/>
        </w:rPr>
      </w:pPr>
      <w:r>
        <w:rPr>
          <w:rFonts w:hint="default" w:ascii="仿宋_GB2312" w:hAnsi="仿宋_GB2312" w:eastAsia="仿宋_GB2312" w:cs="仿宋_GB2312"/>
          <w:b w:val="0"/>
          <w:bCs w:val="0"/>
          <w:i w:val="0"/>
          <w:caps w:val="0"/>
          <w:color w:val="auto"/>
          <w:spacing w:val="0"/>
          <w:sz w:val="32"/>
          <w:szCs w:val="32"/>
          <w:shd w:val="clear" w:color="auto" w:fill="FFFFFF"/>
          <w:lang w:val="en-US" w:eastAsia="zh-CN"/>
        </w:rPr>
        <w:t>本项目生物质蒸汽锅炉除渣过程在锅炉房内完成，并配合洒水降尘措施，灰渣暂存在锅炉间内的灰渣区，并配合表面洒水降尘。</w:t>
      </w:r>
    </w:p>
    <w:bookmarkEnd w:id="7"/>
    <w:p>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left="0" w:leftChars="0" w:right="0" w:firstLine="640" w:firstLineChars="200"/>
        <w:jc w:val="both"/>
        <w:textAlignment w:val="auto"/>
        <w:outlineLvl w:val="9"/>
        <w:rPr>
          <w:rFonts w:hint="eastAsia" w:ascii="黑体" w:hAnsi="黑体" w:eastAsia="黑体" w:cs="黑体"/>
          <w:b w:val="0"/>
          <w:bCs/>
          <w:kern w:val="0"/>
          <w:sz w:val="32"/>
          <w:szCs w:val="32"/>
        </w:rPr>
      </w:pPr>
      <w:r>
        <w:rPr>
          <w:rFonts w:hint="eastAsia" w:ascii="黑体" w:hAnsi="黑体" w:eastAsia="黑体" w:cs="黑体"/>
          <w:b w:val="0"/>
          <w:bCs/>
          <w:kern w:val="0"/>
          <w:sz w:val="32"/>
          <w:szCs w:val="32"/>
          <w:lang w:val="en-US" w:eastAsia="zh-CN"/>
        </w:rPr>
        <w:t>三</w:t>
      </w:r>
      <w:r>
        <w:rPr>
          <w:rFonts w:hint="eastAsia" w:ascii="黑体" w:hAnsi="黑体" w:eastAsia="黑体" w:cs="黑体"/>
          <w:b w:val="0"/>
          <w:bCs/>
          <w:kern w:val="0"/>
          <w:sz w:val="32"/>
          <w:szCs w:val="32"/>
        </w:rPr>
        <w:t>、项目管理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left="0" w:leftChars="0" w:right="0" w:firstLine="640" w:firstLineChars="200"/>
        <w:jc w:val="both"/>
        <w:textAlignment w:val="auto"/>
        <w:outlineLvl w:val="9"/>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b w:val="0"/>
          <w:bCs/>
          <w:kern w:val="0"/>
          <w:sz w:val="32"/>
          <w:szCs w:val="32"/>
        </w:rPr>
        <w:t>建设单位必须严格落实报告表提出的各项环保措施，保证各配套环保设备正常运行。保证环境保护设施建设与主体工程建设 “三同时”</w:t>
      </w:r>
      <w:r>
        <w:rPr>
          <w:rFonts w:hint="eastAsia" w:ascii="仿宋_GB2312" w:hAnsi="仿宋_GB2312" w:eastAsia="仿宋_GB2312" w:cs="仿宋_GB2312"/>
          <w:b w:val="0"/>
          <w:bCs/>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kern w:val="0"/>
          <w:sz w:val="32"/>
          <w:szCs w:val="32"/>
        </w:rPr>
        <w:t>项目竣工后，建设单位须按规定程序</w:t>
      </w:r>
      <w:r>
        <w:rPr>
          <w:rFonts w:hint="eastAsia" w:ascii="仿宋_GB2312" w:hAnsi="仿宋_GB2312" w:eastAsia="仿宋_GB2312" w:cs="仿宋_GB2312"/>
          <w:b w:val="0"/>
          <w:bCs/>
          <w:kern w:val="0"/>
          <w:sz w:val="32"/>
          <w:szCs w:val="32"/>
          <w:lang w:eastAsia="zh-CN"/>
        </w:rPr>
        <w:t>自行验收，相关文件报备至本地区生态环境部门备案</w:t>
      </w:r>
      <w:r>
        <w:rPr>
          <w:rFonts w:hint="eastAsia" w:ascii="仿宋_GB2312" w:hAnsi="仿宋_GB2312" w:eastAsia="仿宋_GB2312" w:cs="仿宋_GB2312"/>
          <w:b w:val="0"/>
          <w:bCs/>
          <w:kern w:val="0"/>
          <w:sz w:val="32"/>
          <w:szCs w:val="32"/>
        </w:rPr>
        <w:t>，</w:t>
      </w:r>
      <w:r>
        <w:rPr>
          <w:rFonts w:hint="eastAsia" w:ascii="仿宋_GB2312" w:hAnsi="仿宋_GB2312" w:eastAsia="仿宋_GB2312" w:cs="仿宋_GB2312"/>
          <w:b w:val="0"/>
          <w:bCs/>
          <w:kern w:val="0"/>
          <w:sz w:val="32"/>
          <w:szCs w:val="32"/>
          <w:lang w:eastAsia="zh-CN"/>
        </w:rPr>
        <w:t>积极配合日后环境监管。</w:t>
      </w:r>
      <w:r>
        <w:rPr>
          <w:rFonts w:hint="eastAsia" w:ascii="仿宋_GB2312" w:hAnsi="仿宋_GB2312" w:eastAsia="仿宋_GB2312" w:cs="仿宋_GB2312"/>
          <w:b w:val="0"/>
          <w:bCs/>
          <w:kern w:val="0"/>
          <w:sz w:val="32"/>
          <w:szCs w:val="32"/>
        </w:rPr>
        <w:t>严格执行生态保护措施，如发生重大变动，须重新审批。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right="0"/>
        <w:jc w:val="both"/>
        <w:textAlignment w:val="auto"/>
        <w:outlineLvl w:val="9"/>
        <w:rPr>
          <w:rFonts w:hint="eastAsia" w:ascii="仿宋_GB2312" w:hAnsi="仿宋_GB2312" w:eastAsia="仿宋_GB2312" w:cs="仿宋_GB2312"/>
          <w:b w:val="0"/>
          <w:bCs/>
          <w:spacing w:val="-20"/>
          <w:sz w:val="32"/>
          <w:szCs w:val="32"/>
          <w:lang w:eastAsia="zh-CN"/>
        </w:rPr>
      </w:pPr>
    </w:p>
    <w:p>
      <w:pPr>
        <w:pStyle w:val="21"/>
        <w:keepNext w:val="0"/>
        <w:keepLines w:val="0"/>
        <w:pageBreakBefore w:val="0"/>
        <w:kinsoku/>
        <w:wordWrap/>
        <w:overflowPunct/>
        <w:topLinePunct w:val="0"/>
        <w:bidi w:val="0"/>
        <w:spacing w:line="560" w:lineRule="atLeast"/>
        <w:textAlignment w:val="auto"/>
        <w:rPr>
          <w:rFonts w:hint="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left="0" w:leftChars="0" w:right="0" w:firstLine="5040" w:firstLineChars="1800"/>
        <w:jc w:val="both"/>
        <w:textAlignment w:val="auto"/>
        <w:outlineLvl w:val="9"/>
        <w:rPr>
          <w:rFonts w:hint="eastAsia" w:ascii="仿宋_GB2312" w:hAnsi="仿宋_GB2312" w:eastAsia="仿宋_GB2312" w:cs="仿宋_GB2312"/>
          <w:b w:val="0"/>
          <w:bCs/>
          <w:spacing w:val="-20"/>
          <w:sz w:val="32"/>
          <w:szCs w:val="32"/>
          <w:lang w:val="en-US" w:eastAsia="zh-CN"/>
        </w:rPr>
      </w:pPr>
      <w:r>
        <w:rPr>
          <w:rFonts w:hint="eastAsia" w:ascii="仿宋_GB2312" w:hAnsi="仿宋_GB2312" w:eastAsia="仿宋_GB2312" w:cs="仿宋_GB2312"/>
          <w:b w:val="0"/>
          <w:bCs/>
          <w:spacing w:val="-20"/>
          <w:sz w:val="32"/>
          <w:szCs w:val="32"/>
          <w:lang w:eastAsia="zh-CN"/>
        </w:rPr>
        <w:t>伊春市嘉荫生态环境局</w:t>
      </w:r>
      <w:r>
        <w:rPr>
          <w:rFonts w:hint="eastAsia" w:ascii="仿宋_GB2312" w:hAnsi="仿宋_GB2312" w:eastAsia="仿宋_GB2312" w:cs="仿宋_GB2312"/>
          <w:b w:val="0"/>
          <w:bCs/>
          <w:spacing w:val="-2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left="0" w:leftChars="0" w:right="0" w:firstLine="5320" w:firstLineChars="1900"/>
        <w:jc w:val="both"/>
        <w:textAlignment w:val="auto"/>
        <w:outlineLvl w:val="9"/>
        <w:rPr>
          <w:rFonts w:hint="eastAsia" w:ascii="仿宋_GB2312" w:hAnsi="仿宋_GB2312" w:eastAsia="仿宋_GB2312" w:cs="仿宋_GB2312"/>
          <w:b w:val="0"/>
          <w:bCs/>
          <w:spacing w:val="-20"/>
          <w:sz w:val="32"/>
          <w:szCs w:val="32"/>
          <w:lang w:val="en-US" w:eastAsia="zh-CN"/>
        </w:rPr>
      </w:pPr>
      <w:r>
        <w:rPr>
          <w:rFonts w:hint="eastAsia" w:ascii="仿宋_GB2312" w:hAnsi="仿宋_GB2312" w:eastAsia="仿宋_GB2312" w:cs="仿宋_GB2312"/>
          <w:b w:val="0"/>
          <w:bCs/>
          <w:spacing w:val="-20"/>
          <w:sz w:val="32"/>
          <w:szCs w:val="32"/>
          <w:lang w:val="en-US" w:eastAsia="zh-CN"/>
        </w:rPr>
        <w:t>2025</w:t>
      </w:r>
      <w:r>
        <w:rPr>
          <w:rFonts w:hint="eastAsia" w:ascii="仿宋_GB2312" w:hAnsi="仿宋_GB2312" w:eastAsia="仿宋_GB2312" w:cs="仿宋_GB2312"/>
          <w:b w:val="0"/>
          <w:bCs/>
          <w:spacing w:val="-20"/>
          <w:sz w:val="32"/>
          <w:szCs w:val="32"/>
        </w:rPr>
        <w:t>年</w:t>
      </w:r>
      <w:r>
        <w:rPr>
          <w:rFonts w:hint="eastAsia" w:ascii="仿宋_GB2312" w:hAnsi="仿宋_GB2312" w:eastAsia="仿宋_GB2312" w:cs="仿宋_GB2312"/>
          <w:b w:val="0"/>
          <w:bCs/>
          <w:spacing w:val="-20"/>
          <w:sz w:val="32"/>
          <w:szCs w:val="32"/>
          <w:lang w:val="en-US" w:eastAsia="zh-CN"/>
        </w:rPr>
        <w:t>4</w:t>
      </w:r>
      <w:r>
        <w:rPr>
          <w:rFonts w:hint="eastAsia" w:ascii="仿宋_GB2312" w:hAnsi="仿宋_GB2312" w:eastAsia="仿宋_GB2312" w:cs="仿宋_GB2312"/>
          <w:b w:val="0"/>
          <w:bCs/>
          <w:spacing w:val="-20"/>
          <w:sz w:val="32"/>
          <w:szCs w:val="32"/>
        </w:rPr>
        <w:t>月</w:t>
      </w:r>
      <w:r>
        <w:rPr>
          <w:rFonts w:hint="eastAsia" w:ascii="仿宋_GB2312" w:hAnsi="仿宋_GB2312" w:eastAsia="仿宋_GB2312" w:cs="仿宋_GB2312"/>
          <w:b w:val="0"/>
          <w:bCs/>
          <w:spacing w:val="-20"/>
          <w:sz w:val="32"/>
          <w:szCs w:val="32"/>
          <w:lang w:val="en-US" w:eastAsia="zh-CN"/>
        </w:rPr>
        <w:t>29日</w:t>
      </w:r>
    </w:p>
    <w:p>
      <w:pPr>
        <w:pStyle w:val="21"/>
        <w:keepNext w:val="0"/>
        <w:keepLines w:val="0"/>
        <w:pageBreakBefore w:val="0"/>
        <w:kinsoku/>
        <w:wordWrap/>
        <w:overflowPunct/>
        <w:topLinePunct w:val="0"/>
        <w:bidi w:val="0"/>
        <w:spacing w:line="560" w:lineRule="atLeast"/>
        <w:textAlignment w:val="auto"/>
        <w:rPr>
          <w:rFonts w:hint="eastAsia" w:ascii="仿宋_GB2312" w:hAnsi="仿宋_GB2312" w:eastAsia="仿宋_GB2312" w:cs="仿宋_GB2312"/>
          <w:b w:val="0"/>
          <w:bCs/>
          <w:spacing w:val="-20"/>
          <w:sz w:val="32"/>
          <w:szCs w:val="32"/>
          <w:lang w:val="en-US" w:eastAsia="zh-CN"/>
        </w:rPr>
      </w:pPr>
    </w:p>
    <w:p>
      <w:pPr>
        <w:keepNext w:val="0"/>
        <w:keepLines w:val="0"/>
        <w:pageBreakBefore w:val="0"/>
        <w:kinsoku/>
        <w:wordWrap/>
        <w:overflowPunct/>
        <w:topLinePunct w:val="0"/>
        <w:bidi w:val="0"/>
        <w:spacing w:line="560" w:lineRule="atLeast"/>
        <w:textAlignment w:val="auto"/>
        <w:rPr>
          <w:rFonts w:hint="eastAsia" w:ascii="仿宋_GB2312" w:hAnsi="仿宋_GB2312" w:eastAsia="仿宋_GB2312" w:cs="仿宋_GB2312"/>
          <w:b w:val="0"/>
          <w:bCs/>
          <w:spacing w:val="-20"/>
          <w:sz w:val="32"/>
          <w:szCs w:val="32"/>
          <w:lang w:val="en-US" w:eastAsia="zh-CN"/>
        </w:rPr>
      </w:pPr>
    </w:p>
    <w:p>
      <w:pPr>
        <w:pStyle w:val="21"/>
        <w:keepNext w:val="0"/>
        <w:keepLines w:val="0"/>
        <w:pageBreakBefore w:val="0"/>
        <w:kinsoku/>
        <w:wordWrap/>
        <w:overflowPunct/>
        <w:topLinePunct w:val="0"/>
        <w:bidi w:val="0"/>
        <w:spacing w:line="560" w:lineRule="atLeast"/>
        <w:textAlignment w:val="auto"/>
        <w:rPr>
          <w:rFonts w:hint="eastAsia" w:ascii="仿宋_GB2312" w:hAnsi="仿宋_GB2312" w:eastAsia="仿宋_GB2312" w:cs="仿宋_GB2312"/>
          <w:b w:val="0"/>
          <w:bCs/>
          <w:spacing w:val="-20"/>
          <w:sz w:val="32"/>
          <w:szCs w:val="32"/>
          <w:lang w:val="en-US" w:eastAsia="zh-CN"/>
        </w:rPr>
      </w:pPr>
    </w:p>
    <w:p>
      <w:pPr>
        <w:keepNext w:val="0"/>
        <w:keepLines w:val="0"/>
        <w:pageBreakBefore w:val="0"/>
        <w:kinsoku/>
        <w:wordWrap/>
        <w:overflowPunct/>
        <w:topLinePunct w:val="0"/>
        <w:bidi w:val="0"/>
        <w:spacing w:line="560" w:lineRule="atLeast"/>
        <w:textAlignment w:val="auto"/>
        <w:rPr>
          <w:rFonts w:hint="eastAsia"/>
          <w:sz w:val="32"/>
          <w:szCs w:val="32"/>
          <w:lang w:val="en-US" w:eastAsia="zh-CN"/>
        </w:rPr>
      </w:pPr>
    </w:p>
    <w:p>
      <w:pPr>
        <w:pStyle w:val="2"/>
        <w:rPr>
          <w:rFonts w:hint="eastAsia"/>
          <w:sz w:val="32"/>
          <w:szCs w:val="32"/>
          <w:lang w:val="en-US" w:eastAsia="zh-CN"/>
        </w:rPr>
      </w:pPr>
    </w:p>
    <w:p>
      <w:pPr>
        <w:pStyle w:val="7"/>
        <w:rPr>
          <w:rFonts w:hint="eastAsia"/>
          <w:sz w:val="32"/>
          <w:szCs w:val="32"/>
          <w:lang w:val="en-US" w:eastAsia="zh-CN"/>
        </w:rPr>
      </w:pPr>
    </w:p>
    <w:p>
      <w:pPr>
        <w:rPr>
          <w:rFonts w:hint="eastAsia"/>
          <w:sz w:val="32"/>
          <w:szCs w:val="32"/>
          <w:lang w:val="en-US" w:eastAsia="zh-CN"/>
        </w:rPr>
      </w:pPr>
    </w:p>
    <w:p>
      <w:pPr>
        <w:pStyle w:val="2"/>
        <w:rPr>
          <w:rFonts w:hint="eastAsia"/>
          <w:sz w:val="32"/>
          <w:szCs w:val="32"/>
          <w:lang w:val="en-US" w:eastAsia="zh-CN"/>
        </w:rPr>
      </w:pPr>
    </w:p>
    <w:p>
      <w:pPr>
        <w:rPr>
          <w:rFonts w:hint="eastAsia"/>
          <w:sz w:val="32"/>
          <w:szCs w:val="32"/>
          <w:lang w:val="en-US" w:eastAsia="zh-CN"/>
        </w:rPr>
      </w:pPr>
      <w:bookmarkStart w:id="8" w:name="_GoBack"/>
      <w:bookmarkEnd w:id="8"/>
    </w:p>
    <w:p>
      <w:pPr>
        <w:pStyle w:val="2"/>
        <w:rPr>
          <w:rFonts w:hint="eastAsia"/>
          <w:sz w:val="32"/>
          <w:szCs w:val="32"/>
          <w:lang w:val="en-US" w:eastAsia="zh-CN"/>
        </w:rPr>
      </w:pPr>
    </w:p>
    <w:p>
      <w:pPr>
        <w:pStyle w:val="7"/>
        <w:rPr>
          <w:rFonts w:hint="eastAsia"/>
          <w:sz w:val="32"/>
          <w:szCs w:val="32"/>
          <w:lang w:val="en-US" w:eastAsia="zh-CN"/>
        </w:rPr>
      </w:pPr>
    </w:p>
    <w:p>
      <w:pPr>
        <w:pStyle w:val="21"/>
        <w:keepNext w:val="0"/>
        <w:keepLines w:val="0"/>
        <w:pageBreakBefore w:val="0"/>
        <w:kinsoku/>
        <w:wordWrap/>
        <w:overflowPunct/>
        <w:topLinePunct w:val="0"/>
        <w:bidi w:val="0"/>
        <w:spacing w:line="560" w:lineRule="atLeast"/>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atLeast"/>
        <w:ind w:right="0" w:firstLine="280" w:firstLineChars="100"/>
        <w:jc w:val="both"/>
        <w:textAlignment w:val="auto"/>
        <w:outlineLvl w:val="9"/>
        <w:rPr>
          <w:rFonts w:hint="eastAsia" w:cstheme="minorBidi"/>
          <w:kern w:val="2"/>
          <w:sz w:val="21"/>
          <w:szCs w:val="22"/>
          <w:lang w:val="en-US" w:eastAsia="zh-CN" w:bidi="ar-SA"/>
        </w:rPr>
      </w:pPr>
      <w:r>
        <w:rPr>
          <w:rFonts w:hint="eastAsia" w:ascii="仿宋_GB2312" w:hAnsi="仿宋_GB2312" w:eastAsia="仿宋_GB2312" w:cs="仿宋_GB2312"/>
          <w:b w:val="0"/>
          <w:bCs/>
          <w:spacing w:val="-20"/>
          <w:sz w:val="32"/>
          <w:szCs w:val="32"/>
        </w:rPr>
        <w:pict>
          <v:line id="_x0000_s1033" o:spid="_x0000_s1033" o:spt="20" style="position:absolute;left:0pt;margin-left:0pt;margin-top:28.6pt;height:0pt;width:448pt;z-index:251661312;mso-width-relative:page;mso-height-relative:page;" filled="f" coordsize="21600,21600">
            <v:path arrowok="t"/>
            <v:fill on="f" focussize="0,0"/>
            <v:stroke/>
            <v:imagedata o:title=""/>
            <o:lock v:ext="edit"/>
          </v:line>
        </w:pict>
      </w:r>
      <w:r>
        <w:rPr>
          <w:rFonts w:hint="eastAsia" w:ascii="仿宋_GB2312" w:hAnsi="仿宋_GB2312" w:eastAsia="仿宋_GB2312" w:cs="仿宋_GB2312"/>
          <w:b w:val="0"/>
          <w:bCs/>
          <w:spacing w:val="-20"/>
          <w:sz w:val="32"/>
          <w:szCs w:val="32"/>
        </w:rPr>
        <w:pict>
          <v:line id="_x0000_s1034" o:spid="_x0000_s1034" o:spt="20" style="position:absolute;left:0pt;margin-left:0pt;margin-top:1.6pt;height:0pt;width:448pt;z-index:251660288;mso-width-relative:page;mso-height-relative:page;" filled="f" coordsize="21600,21600">
            <v:path arrowok="t"/>
            <v:fill on="f" focussize="0,0"/>
            <v:stroke/>
            <v:imagedata o:title=""/>
            <o:lock v:ext="edit"/>
          </v:line>
        </w:pict>
      </w:r>
      <w:r>
        <w:rPr>
          <w:rFonts w:hint="eastAsia" w:ascii="仿宋_GB2312" w:hAnsi="仿宋_GB2312" w:eastAsia="仿宋_GB2312" w:cs="仿宋_GB2312"/>
          <w:b w:val="0"/>
          <w:bCs/>
          <w:spacing w:val="-20"/>
          <w:sz w:val="32"/>
          <w:szCs w:val="32"/>
          <w:lang w:eastAsia="zh-CN"/>
        </w:rPr>
        <w:t>伊春市嘉荫生态环境局</w:t>
      </w:r>
      <w:r>
        <w:rPr>
          <w:rFonts w:hint="eastAsia" w:ascii="仿宋_GB2312" w:hAnsi="仿宋_GB2312" w:eastAsia="仿宋_GB2312" w:cs="仿宋_GB2312"/>
          <w:b w:val="0"/>
          <w:bCs/>
          <w:spacing w:val="-20"/>
          <w:sz w:val="32"/>
          <w:szCs w:val="32"/>
        </w:rPr>
        <w:t xml:space="preserve">            </w:t>
      </w:r>
      <w:r>
        <w:rPr>
          <w:rFonts w:hint="eastAsia" w:ascii="仿宋_GB2312" w:hAnsi="仿宋_GB2312" w:eastAsia="仿宋_GB2312" w:cs="仿宋_GB2312"/>
          <w:b w:val="0"/>
          <w:bCs/>
          <w:spacing w:val="-20"/>
          <w:sz w:val="32"/>
          <w:szCs w:val="32"/>
          <w:lang w:val="en-US" w:eastAsia="zh-CN"/>
        </w:rPr>
        <w:t xml:space="preserve">        </w:t>
      </w:r>
      <w:r>
        <w:rPr>
          <w:rFonts w:hint="eastAsia" w:ascii="仿宋_GB2312" w:hAnsi="仿宋_GB2312" w:eastAsia="仿宋_GB2312" w:cs="仿宋_GB2312"/>
          <w:b w:val="0"/>
          <w:bCs/>
          <w:spacing w:val="-20"/>
          <w:sz w:val="32"/>
          <w:szCs w:val="32"/>
        </w:rPr>
        <w:t xml:space="preserve">   </w:t>
      </w:r>
      <w:r>
        <w:rPr>
          <w:rFonts w:hint="eastAsia" w:ascii="仿宋_GB2312" w:hAnsi="仿宋_GB2312" w:eastAsia="仿宋_GB2312" w:cs="仿宋_GB2312"/>
          <w:b w:val="0"/>
          <w:bCs/>
          <w:spacing w:val="-20"/>
          <w:sz w:val="32"/>
          <w:szCs w:val="32"/>
          <w:lang w:val="en-US" w:eastAsia="zh-CN"/>
        </w:rPr>
        <w:t xml:space="preserve">   </w:t>
      </w:r>
      <w:r>
        <w:rPr>
          <w:rFonts w:hint="eastAsia" w:ascii="仿宋_GB2312" w:hAnsi="仿宋_GB2312" w:eastAsia="仿宋_GB2312" w:cs="仿宋_GB2312"/>
          <w:b w:val="0"/>
          <w:bCs/>
          <w:spacing w:val="-20"/>
          <w:sz w:val="32"/>
          <w:szCs w:val="32"/>
        </w:rPr>
        <w:t xml:space="preserve">  </w:t>
      </w:r>
      <w:r>
        <w:rPr>
          <w:rFonts w:hint="eastAsia" w:ascii="仿宋_GB2312" w:hAnsi="仿宋_GB2312" w:eastAsia="仿宋_GB2312" w:cs="仿宋_GB2312"/>
          <w:b w:val="0"/>
          <w:bCs/>
          <w:spacing w:val="-20"/>
          <w:sz w:val="32"/>
          <w:szCs w:val="32"/>
          <w:lang w:val="en-US" w:eastAsia="zh-CN"/>
        </w:rPr>
        <w:t>2025</w:t>
      </w:r>
      <w:r>
        <w:rPr>
          <w:rFonts w:hint="eastAsia" w:ascii="仿宋_GB2312" w:hAnsi="仿宋_GB2312" w:eastAsia="仿宋_GB2312" w:cs="仿宋_GB2312"/>
          <w:b w:val="0"/>
          <w:bCs/>
          <w:spacing w:val="-20"/>
          <w:sz w:val="32"/>
          <w:szCs w:val="32"/>
        </w:rPr>
        <w:t>年</w:t>
      </w:r>
      <w:r>
        <w:rPr>
          <w:rFonts w:hint="eastAsia" w:ascii="仿宋_GB2312" w:hAnsi="仿宋_GB2312" w:eastAsia="仿宋_GB2312" w:cs="仿宋_GB2312"/>
          <w:b w:val="0"/>
          <w:bCs/>
          <w:spacing w:val="-20"/>
          <w:sz w:val="32"/>
          <w:szCs w:val="32"/>
          <w:lang w:val="en-US" w:eastAsia="zh-CN"/>
        </w:rPr>
        <w:t>4</w:t>
      </w:r>
      <w:r>
        <w:rPr>
          <w:rFonts w:hint="eastAsia" w:ascii="仿宋_GB2312" w:hAnsi="仿宋_GB2312" w:eastAsia="仿宋_GB2312" w:cs="仿宋_GB2312"/>
          <w:b w:val="0"/>
          <w:bCs/>
          <w:spacing w:val="-20"/>
          <w:sz w:val="32"/>
          <w:szCs w:val="32"/>
        </w:rPr>
        <w:t>月</w:t>
      </w:r>
      <w:r>
        <w:rPr>
          <w:rFonts w:hint="eastAsia" w:ascii="仿宋_GB2312" w:hAnsi="仿宋_GB2312" w:eastAsia="仿宋_GB2312" w:cs="仿宋_GB2312"/>
          <w:b w:val="0"/>
          <w:bCs/>
          <w:spacing w:val="-20"/>
          <w:sz w:val="32"/>
          <w:szCs w:val="32"/>
          <w:lang w:val="en-US" w:eastAsia="zh-CN"/>
        </w:rPr>
        <w:t>29</w:t>
      </w:r>
      <w:r>
        <w:rPr>
          <w:rFonts w:hint="eastAsia" w:ascii="仿宋_GB2312" w:hAnsi="仿宋_GB2312" w:eastAsia="仿宋_GB2312" w:cs="仿宋_GB2312"/>
          <w:b w:val="0"/>
          <w:bCs/>
          <w:spacing w:val="-20"/>
          <w:sz w:val="32"/>
          <w:szCs w:val="32"/>
        </w:rPr>
        <w:t xml:space="preserve">日 </w:t>
      </w:r>
      <w:r>
        <w:rPr>
          <w:rFonts w:hint="eastAsia" w:ascii="仿宋" w:hAnsi="仿宋" w:eastAsia="仿宋" w:cs="仿宋"/>
          <w:b w:val="0"/>
          <w:bCs/>
          <w:spacing w:val="-20"/>
          <w:sz w:val="32"/>
          <w:szCs w:val="32"/>
        </w:rPr>
        <w:t xml:space="preserve">   </w:t>
      </w:r>
    </w:p>
    <w:sectPr>
      <w:footerReference r:id="rId3" w:type="default"/>
      <w:pgSz w:w="11906" w:h="16838"/>
      <w:pgMar w:top="1531" w:right="1247" w:bottom="1417"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3"/>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05BFD"/>
    <w:multiLevelType w:val="multilevel"/>
    <w:tmpl w:val="2D705BFD"/>
    <w:lvl w:ilvl="0" w:tentative="0">
      <w:start w:val="1"/>
      <w:numFmt w:val="lowerLetter"/>
      <w:lvlText w:val="%1）"/>
      <w:lvlJc w:val="left"/>
      <w:pPr>
        <w:tabs>
          <w:tab w:val="left" w:pos="1335"/>
        </w:tabs>
        <w:ind w:left="1335" w:hanging="855"/>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pStyle w:val="5"/>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3F777B95"/>
    <w:multiLevelType w:val="singleLevel"/>
    <w:tmpl w:val="3F777B95"/>
    <w:lvl w:ilvl="0" w:tentative="0">
      <w:start w:val="1"/>
      <w:numFmt w:val="bullet"/>
      <w:pStyle w:val="9"/>
      <w:lvlText w:val=""/>
      <w:lvlJc w:val="left"/>
      <w:pPr>
        <w:tabs>
          <w:tab w:val="left" w:pos="2040"/>
        </w:tabs>
        <w:ind w:left="204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IwMTNiZTM1ZTkzNWUxNjhjNTQzMjg5NDIzNjE5OGMifQ=="/>
  </w:docVars>
  <w:rsids>
    <w:rsidRoot w:val="001B0C2F"/>
    <w:rsid w:val="0001730E"/>
    <w:rsid w:val="001B0C2F"/>
    <w:rsid w:val="001E0FB5"/>
    <w:rsid w:val="005B0F7C"/>
    <w:rsid w:val="006C414B"/>
    <w:rsid w:val="009A63DC"/>
    <w:rsid w:val="009D2AD3"/>
    <w:rsid w:val="00EF10B6"/>
    <w:rsid w:val="010D0030"/>
    <w:rsid w:val="025E3ACE"/>
    <w:rsid w:val="03534BA3"/>
    <w:rsid w:val="04B45A07"/>
    <w:rsid w:val="060A133A"/>
    <w:rsid w:val="068A39D5"/>
    <w:rsid w:val="09F35753"/>
    <w:rsid w:val="0ABA65F9"/>
    <w:rsid w:val="0DDD4B8A"/>
    <w:rsid w:val="10643BE8"/>
    <w:rsid w:val="11111022"/>
    <w:rsid w:val="13820A34"/>
    <w:rsid w:val="14455071"/>
    <w:rsid w:val="149A7A47"/>
    <w:rsid w:val="153A470C"/>
    <w:rsid w:val="17957348"/>
    <w:rsid w:val="18496D0F"/>
    <w:rsid w:val="186A2FA6"/>
    <w:rsid w:val="1E790D19"/>
    <w:rsid w:val="21CE2586"/>
    <w:rsid w:val="23E341AC"/>
    <w:rsid w:val="2414155B"/>
    <w:rsid w:val="269C129A"/>
    <w:rsid w:val="26CC1D22"/>
    <w:rsid w:val="28EC4343"/>
    <w:rsid w:val="2A1349DD"/>
    <w:rsid w:val="2B193335"/>
    <w:rsid w:val="2E0F1DA6"/>
    <w:rsid w:val="32770ED0"/>
    <w:rsid w:val="365B5056"/>
    <w:rsid w:val="39D16722"/>
    <w:rsid w:val="39ED67B4"/>
    <w:rsid w:val="3B7072B8"/>
    <w:rsid w:val="400D5558"/>
    <w:rsid w:val="40A419DF"/>
    <w:rsid w:val="42674667"/>
    <w:rsid w:val="47E425FE"/>
    <w:rsid w:val="498106AE"/>
    <w:rsid w:val="4B4B6D7C"/>
    <w:rsid w:val="4C0A5E75"/>
    <w:rsid w:val="50925F6D"/>
    <w:rsid w:val="5416080D"/>
    <w:rsid w:val="54284C14"/>
    <w:rsid w:val="5905198F"/>
    <w:rsid w:val="5A7C2027"/>
    <w:rsid w:val="5D821EBD"/>
    <w:rsid w:val="60845921"/>
    <w:rsid w:val="60BC0CEF"/>
    <w:rsid w:val="614C1A72"/>
    <w:rsid w:val="617C2ED8"/>
    <w:rsid w:val="64EC79D4"/>
    <w:rsid w:val="68B808FF"/>
    <w:rsid w:val="68C42AB2"/>
    <w:rsid w:val="693C36A0"/>
    <w:rsid w:val="6A6E2CEB"/>
    <w:rsid w:val="6E8D27C7"/>
    <w:rsid w:val="6F00224C"/>
    <w:rsid w:val="71323A25"/>
    <w:rsid w:val="71EE23F6"/>
    <w:rsid w:val="753E2BFF"/>
    <w:rsid w:val="75DE2E7A"/>
    <w:rsid w:val="76994DB0"/>
    <w:rsid w:val="76E463EA"/>
    <w:rsid w:val="78E63066"/>
    <w:rsid w:val="7ABD276F"/>
    <w:rsid w:val="7C4D1716"/>
    <w:rsid w:val="7D28064C"/>
    <w:rsid w:val="7E8A15D3"/>
    <w:rsid w:val="7FE64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10">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11">
    <w:name w:val="heading 3"/>
    <w:basedOn w:val="1"/>
    <w:next w:val="1"/>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7"/>
    <w:qFormat/>
    <w:uiPriority w:val="0"/>
    <w:pPr>
      <w:ind w:firstLine="420" w:firstLineChars="200"/>
    </w:pPr>
    <w:rPr>
      <w:kern w:val="2"/>
      <w:sz w:val="21"/>
      <w:szCs w:val="24"/>
    </w:rPr>
  </w:style>
  <w:style w:type="paragraph" w:styleId="3">
    <w:name w:val="Body Text Indent"/>
    <w:basedOn w:val="1"/>
    <w:next w:val="4"/>
    <w:qFormat/>
    <w:uiPriority w:val="0"/>
    <w:pPr>
      <w:spacing w:after="120"/>
      <w:ind w:left="420" w:leftChars="200"/>
    </w:pPr>
    <w:rPr>
      <w:kern w:val="0"/>
      <w:sz w:val="24"/>
      <w:szCs w:val="20"/>
    </w:rPr>
  </w:style>
  <w:style w:type="paragraph" w:styleId="4">
    <w:name w:val="header"/>
    <w:basedOn w:val="1"/>
    <w:next w:val="5"/>
    <w:link w:val="3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5">
    <w:name w:val="样式5"/>
    <w:basedOn w:val="6"/>
    <w:qFormat/>
    <w:uiPriority w:val="0"/>
    <w:pPr>
      <w:numPr>
        <w:ilvl w:val="4"/>
        <w:numId w:val="1"/>
      </w:numPr>
    </w:pPr>
    <w:rPr>
      <w:szCs w:val="21"/>
    </w:rPr>
  </w:style>
  <w:style w:type="paragraph" w:styleId="6">
    <w:name w:val="Normal Indent"/>
    <w:basedOn w:val="1"/>
    <w:next w:val="1"/>
    <w:qFormat/>
    <w:uiPriority w:val="0"/>
    <w:pPr>
      <w:ind w:firstLine="420"/>
    </w:pPr>
    <w:rPr>
      <w:rFonts w:ascii="Times New Roman" w:eastAsia="仿宋_GB2312"/>
      <w:kern w:val="2"/>
      <w:sz w:val="21"/>
    </w:rPr>
  </w:style>
  <w:style w:type="paragraph" w:styleId="7">
    <w:name w:val="Body Text First Indent"/>
    <w:basedOn w:val="8"/>
    <w:next w:val="1"/>
    <w:qFormat/>
    <w:uiPriority w:val="0"/>
    <w:pPr>
      <w:ind w:firstLine="420" w:firstLineChars="100"/>
    </w:pPr>
    <w:rPr>
      <w:rFonts w:ascii="Times New Roman" w:hAnsi="Times New Roman"/>
      <w:szCs w:val="24"/>
    </w:rPr>
  </w:style>
  <w:style w:type="paragraph" w:styleId="8">
    <w:name w:val="Body Text"/>
    <w:basedOn w:val="1"/>
    <w:next w:val="9"/>
    <w:qFormat/>
    <w:uiPriority w:val="0"/>
    <w:pPr>
      <w:widowControl/>
      <w:snapToGrid w:val="0"/>
      <w:spacing w:before="60" w:after="160" w:line="259" w:lineRule="auto"/>
      <w:ind w:right="113"/>
    </w:pPr>
    <w:rPr>
      <w:kern w:val="0"/>
      <w:sz w:val="18"/>
      <w:szCs w:val="20"/>
    </w:rPr>
  </w:style>
  <w:style w:type="paragraph" w:styleId="9">
    <w:name w:val="List Bullet 5"/>
    <w:basedOn w:val="1"/>
    <w:semiHidden/>
    <w:unhideWhenUsed/>
    <w:qFormat/>
    <w:uiPriority w:val="99"/>
    <w:pPr>
      <w:numPr>
        <w:ilvl w:val="0"/>
        <w:numId w:val="2"/>
      </w:numPr>
    </w:pPr>
  </w:style>
  <w:style w:type="paragraph" w:styleId="12">
    <w:name w:val="Balloon Text"/>
    <w:basedOn w:val="1"/>
    <w:link w:val="33"/>
    <w:semiHidden/>
    <w:unhideWhenUsed/>
    <w:qFormat/>
    <w:uiPriority w:val="99"/>
    <w:rPr>
      <w:sz w:val="18"/>
      <w:szCs w:val="18"/>
    </w:rPr>
  </w:style>
  <w:style w:type="paragraph" w:styleId="13">
    <w:name w:val="footer"/>
    <w:basedOn w:val="1"/>
    <w:link w:val="32"/>
    <w:semiHidden/>
    <w:unhideWhenUsed/>
    <w:qFormat/>
    <w:uiPriority w:val="99"/>
    <w:pPr>
      <w:tabs>
        <w:tab w:val="center" w:pos="4153"/>
        <w:tab w:val="right" w:pos="8306"/>
      </w:tabs>
      <w:snapToGrid w:val="0"/>
      <w:jc w:val="left"/>
    </w:pPr>
    <w:rPr>
      <w:sz w:val="18"/>
      <w:szCs w:val="18"/>
    </w:rPr>
  </w:style>
  <w:style w:type="paragraph" w:styleId="14">
    <w:name w:val="toc 1"/>
    <w:basedOn w:val="1"/>
    <w:next w:val="1"/>
    <w:qFormat/>
    <w:uiPriority w:val="39"/>
    <w:pPr>
      <w:spacing w:line="360" w:lineRule="auto"/>
    </w:pPr>
    <w:rPr>
      <w:b/>
      <w:sz w:val="24"/>
    </w:rPr>
  </w:style>
  <w:style w:type="paragraph" w:styleId="15">
    <w:name w:val="List"/>
    <w:basedOn w:val="1"/>
    <w:next w:val="1"/>
    <w:qFormat/>
    <w:uiPriority w:val="0"/>
    <w:pPr>
      <w:ind w:left="200" w:hanging="200" w:hangingChars="200"/>
    </w:pPr>
  </w:style>
  <w:style w:type="paragraph" w:styleId="16">
    <w:name w:val="toc 2"/>
    <w:basedOn w:val="1"/>
    <w:next w:val="1"/>
    <w:semiHidden/>
    <w:qFormat/>
    <w:uiPriority w:val="0"/>
    <w:pPr>
      <w:ind w:left="420" w:leftChars="200"/>
    </w:pPr>
  </w:style>
  <w:style w:type="paragraph" w:styleId="1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topLinePunct/>
      <w:spacing w:line="360" w:lineRule="auto"/>
      <w:ind w:left="1080" w:leftChars="500" w:hanging="1080" w:hangingChars="500"/>
    </w:pPr>
    <w:rPr>
      <w:rFonts w:ascii="Arial" w:hAnsi="Arial" w:eastAsia="仿宋_GB2312"/>
    </w:rPr>
  </w:style>
  <w:style w:type="paragraph" w:styleId="1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21">
    <w:name w:val="Default"/>
    <w:basedOn w:val="22"/>
    <w:next w:val="1"/>
    <w:qFormat/>
    <w:uiPriority w:val="0"/>
    <w:pPr>
      <w:widowControl w:val="0"/>
      <w:tabs>
        <w:tab w:val="left" w:pos="4440"/>
      </w:tabs>
      <w:autoSpaceDE w:val="0"/>
      <w:autoSpaceDN w:val="0"/>
      <w:adjustRightInd w:val="0"/>
    </w:pPr>
    <w:rPr>
      <w:rFonts w:ascii="宋体" w:hAnsi="Calibri" w:eastAsia="宋体" w:cs="宋体"/>
      <w:color w:val="000000"/>
      <w:sz w:val="24"/>
      <w:szCs w:val="24"/>
      <w:lang w:val="en-US" w:eastAsia="zh-CN" w:bidi="ar-SA"/>
    </w:rPr>
  </w:style>
  <w:style w:type="paragraph" w:customStyle="1" w:styleId="22">
    <w:name w:val="纯文本1"/>
    <w:basedOn w:val="1"/>
    <w:qFormat/>
    <w:uiPriority w:val="0"/>
    <w:pPr>
      <w:adjustRightInd w:val="0"/>
    </w:pPr>
    <w:rPr>
      <w:rFonts w:ascii="宋体" w:hAnsi="Courier New"/>
      <w:szCs w:val="20"/>
    </w:rPr>
  </w:style>
  <w:style w:type="paragraph" w:customStyle="1" w:styleId="23">
    <w:name w:val="Normal (Web)1"/>
    <w:basedOn w:val="1"/>
    <w:next w:val="24"/>
    <w:qFormat/>
    <w:uiPriority w:val="0"/>
    <w:pPr>
      <w:widowControl/>
      <w:jc w:val="left"/>
    </w:pPr>
    <w:rPr>
      <w:rFonts w:ascii="宋体" w:cs="Times New Roman"/>
      <w:kern w:val="0"/>
      <w:sz w:val="24"/>
      <w:szCs w:val="21"/>
    </w:rPr>
  </w:style>
  <w:style w:type="paragraph" w:customStyle="1" w:styleId="24">
    <w:name w:val="Date1"/>
    <w:basedOn w:val="1"/>
    <w:next w:val="1"/>
    <w:qFormat/>
    <w:uiPriority w:val="0"/>
    <w:pPr>
      <w:ind w:left="2500" w:leftChars="2500"/>
    </w:pPr>
  </w:style>
  <w:style w:type="paragraph" w:customStyle="1" w:styleId="25">
    <w:name w:val="样式 正文首行缩进 + 首行缩进:  2 字符1"/>
    <w:basedOn w:val="1"/>
    <w:next w:val="14"/>
    <w:qFormat/>
    <w:uiPriority w:val="0"/>
    <w:pPr>
      <w:spacing w:line="360" w:lineRule="auto"/>
      <w:ind w:firstLine="480" w:firstLineChars="200"/>
    </w:pPr>
    <w:rPr>
      <w:sz w:val="24"/>
    </w:rPr>
  </w:style>
  <w:style w:type="paragraph" w:customStyle="1" w:styleId="26">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customStyle="1" w:styleId="27">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28">
    <w:name w:val="11111"/>
    <w:basedOn w:val="1"/>
    <w:next w:val="1"/>
    <w:qFormat/>
    <w:uiPriority w:val="0"/>
    <w:pPr>
      <w:spacing w:line="360" w:lineRule="auto"/>
      <w:ind w:firstLine="200" w:firstLineChars="200"/>
    </w:pPr>
    <w:rPr>
      <w:rFonts w:hAnsi="宋体" w:cs="宋体"/>
      <w:szCs w:val="24"/>
    </w:rPr>
  </w:style>
  <w:style w:type="paragraph" w:customStyle="1" w:styleId="29">
    <w:name w:val="表头"/>
    <w:basedOn w:val="15"/>
    <w:next w:val="30"/>
    <w:qFormat/>
    <w:uiPriority w:val="0"/>
    <w:pPr>
      <w:tabs>
        <w:tab w:val="left" w:pos="4440"/>
      </w:tabs>
      <w:autoSpaceDE w:val="0"/>
      <w:autoSpaceDN w:val="0"/>
      <w:adjustRightInd w:val="0"/>
      <w:snapToGrid w:val="0"/>
      <w:spacing w:beforeLines="25" w:afterLines="25" w:line="360" w:lineRule="auto"/>
      <w:ind w:firstLine="200" w:firstLineChars="200"/>
      <w:jc w:val="center"/>
      <w:textAlignment w:val="bottom"/>
    </w:pPr>
    <w:rPr>
      <w:rFonts w:ascii="黑体" w:hAnsi="Calibri" w:eastAsia="黑体" w:cs="Times New Roman"/>
      <w:spacing w:val="16"/>
      <w:kern w:val="0"/>
      <w:sz w:val="24"/>
      <w:szCs w:val="24"/>
    </w:rPr>
  </w:style>
  <w:style w:type="paragraph" w:customStyle="1" w:styleId="30">
    <w:name w:val="表1"/>
    <w:next w:val="1"/>
    <w:qFormat/>
    <w:uiPriority w:val="0"/>
    <w:pPr>
      <w:adjustRightInd w:val="0"/>
      <w:snapToGrid w:val="0"/>
      <w:jc w:val="center"/>
    </w:pPr>
    <w:rPr>
      <w:rFonts w:ascii="宋体" w:hAnsi="Times New Roman" w:eastAsia="宋体" w:cs="Times New Roman"/>
      <w:sz w:val="21"/>
      <w:szCs w:val="22"/>
      <w:lang w:val="en-US" w:eastAsia="zh-CN" w:bidi="ar-SA"/>
    </w:rPr>
  </w:style>
  <w:style w:type="character" w:customStyle="1" w:styleId="31">
    <w:name w:val="页眉 Char"/>
    <w:basedOn w:val="20"/>
    <w:link w:val="4"/>
    <w:semiHidden/>
    <w:qFormat/>
    <w:uiPriority w:val="99"/>
    <w:rPr>
      <w:sz w:val="18"/>
      <w:szCs w:val="18"/>
    </w:rPr>
  </w:style>
  <w:style w:type="character" w:customStyle="1" w:styleId="32">
    <w:name w:val="页脚 Char"/>
    <w:basedOn w:val="20"/>
    <w:link w:val="13"/>
    <w:semiHidden/>
    <w:qFormat/>
    <w:uiPriority w:val="99"/>
    <w:rPr>
      <w:sz w:val="18"/>
      <w:szCs w:val="18"/>
    </w:rPr>
  </w:style>
  <w:style w:type="character" w:customStyle="1" w:styleId="33">
    <w:name w:val="批注框文本 Char"/>
    <w:basedOn w:val="20"/>
    <w:link w:val="12"/>
    <w:semiHidden/>
    <w:qFormat/>
    <w:uiPriority w:val="99"/>
    <w:rPr>
      <w:sz w:val="18"/>
      <w:szCs w:val="18"/>
    </w:rPr>
  </w:style>
  <w:style w:type="paragraph" w:customStyle="1" w:styleId="34">
    <w:name w:val="【正文】"/>
    <w:basedOn w:val="1"/>
    <w:next w:val="17"/>
    <w:qFormat/>
    <w:uiPriority w:val="99"/>
    <w:pPr>
      <w:spacing w:line="360" w:lineRule="auto"/>
      <w:ind w:firstLine="480" w:firstLineChars="200"/>
    </w:pPr>
    <w:rPr>
      <w:rFonts w:ascii="Calibri" w:hAnsi="Calibri" w:eastAsia="宋体" w:cs="Times New Roman"/>
      <w:kern w:val="0"/>
      <w:sz w:val="24"/>
      <w:szCs w:val="24"/>
    </w:rPr>
  </w:style>
  <w:style w:type="paragraph" w:customStyle="1" w:styleId="35">
    <w:name w:val="正文00"/>
    <w:basedOn w:val="1"/>
    <w:next w:val="36"/>
    <w:qFormat/>
    <w:uiPriority w:val="0"/>
    <w:pPr>
      <w:spacing w:line="360" w:lineRule="auto"/>
      <w:ind w:left="480" w:firstLine="3808"/>
    </w:pPr>
    <w:rPr>
      <w:kern w:val="0"/>
      <w:sz w:val="20"/>
      <w:szCs w:val="20"/>
    </w:rPr>
  </w:style>
  <w:style w:type="paragraph" w:customStyle="1" w:styleId="36">
    <w:name w:val="样式 Times New Roman 五号 居中1"/>
    <w:basedOn w:val="1"/>
    <w:next w:val="29"/>
    <w:qFormat/>
    <w:uiPriority w:val="0"/>
    <w:pPr>
      <w:ind w:firstLine="3584"/>
      <w:jc w:val="center"/>
    </w:pPr>
    <w:rPr>
      <w:kern w:val="0"/>
      <w:sz w:val="20"/>
      <w:szCs w:val="20"/>
    </w:rPr>
  </w:style>
  <w:style w:type="paragraph" w:customStyle="1" w:styleId="37">
    <w:name w:val="a正文"/>
    <w:basedOn w:val="38"/>
    <w:qFormat/>
    <w:uiPriority w:val="0"/>
    <w:pPr>
      <w:ind w:firstLine="480"/>
    </w:pPr>
    <w:rPr>
      <w:rFonts w:cs="Times New Roman"/>
    </w:rPr>
  </w:style>
  <w:style w:type="paragraph" w:customStyle="1" w:styleId="38">
    <w:name w:val="正文格式"/>
    <w:basedOn w:val="1"/>
    <w:next w:val="1"/>
    <w:qFormat/>
    <w:uiPriority w:val="0"/>
    <w:pPr>
      <w:spacing w:line="360" w:lineRule="auto"/>
      <w:ind w:firstLine="420" w:firstLineChars="200"/>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895</Words>
  <Characters>927</Characters>
  <Lines>1</Lines>
  <Paragraphs>1</Paragraphs>
  <TotalTime>6</TotalTime>
  <ScaleCrop>false</ScaleCrop>
  <LinksUpToDate>false</LinksUpToDate>
  <CharactersWithSpaces>996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2023-03-27T00:09:00Z</dcterms:created>
  <dc:creator>Administrator</dc:creator>
  <cp:lastModifiedBy>啡杯</cp:lastModifiedBy>
  <cp:lastPrinted>2025-04-02T08:02:00Z</cp:lastPrinted>
  <dcterms:modified xsi:type="dcterms:W3CDTF">2025-04-29T02:50:08Z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C704A37A80F64AEA97A70A9E22318C8F_12</vt:lpwstr>
  </property>
</Properties>
</file>